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7F" w:rsidRDefault="002C54FF">
      <w:pPr>
        <w:jc w:val="center"/>
      </w:pPr>
      <w:r>
        <w:t>EXTRATO DE ATA DA 1°REUNIÃO ORDINÁRIA DE JUNHO DE CONSELHO PLENO</w:t>
      </w:r>
    </w:p>
    <w:p w:rsidR="002D797F" w:rsidRDefault="002D797F">
      <w:pPr>
        <w:jc w:val="both"/>
      </w:pP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Aos dois de </w:t>
      </w:r>
      <w:r>
        <w:t>j</w:t>
      </w:r>
      <w:r>
        <w:rPr>
          <w:color w:val="000000"/>
        </w:rPr>
        <w:t xml:space="preserve">unho de dois mil e vinte, às dezenove horas e </w:t>
      </w:r>
      <w:r>
        <w:t>sete</w:t>
      </w:r>
      <w:r>
        <w:rPr>
          <w:color w:val="000000"/>
        </w:rPr>
        <w:t xml:space="preserve"> minutos, reuniram-se por meio de plataforma digital google meet, </w:t>
      </w:r>
      <w:hyperlink r:id="rId7">
        <w:r>
          <w:rPr>
            <w:color w:val="000000"/>
          </w:rPr>
          <w:t>https://meet.google.com/eeo-kkhj-chv</w:t>
        </w:r>
      </w:hyperlink>
      <w:r>
        <w:t>,</w:t>
      </w:r>
      <w:r>
        <w:rPr>
          <w:color w:val="000000"/>
        </w:rPr>
        <w:t xml:space="preserve"> nesta capital as conselheiras, Alba Valéria de Sousa Batista, Amanda Marques de Oliveira Gomes, Cleiana Francisca Bezerra Mesquita, Diaponira Vitória da Silva Santos, Fabianna Rodrigues Guimarães, Fabiana Soares de Alm</w:t>
      </w:r>
      <w:r>
        <w:rPr>
          <w:color w:val="000000"/>
        </w:rPr>
        <w:t>eida, Giselia Maria da Silva Carvalho, Henrique Meneses Ribeiro, Indira Alves Aragão Mota, Maria Marlene Lima de Aquino, Mirella Thaís Araújo Santos, Nayarad da Silveira Braga, Sayonara Genilda de Sousa Lima, e Tâmara Feitosa Oliveira, além da equipe admin</w:t>
      </w:r>
      <w:r>
        <w:rPr>
          <w:color w:val="000000"/>
        </w:rPr>
        <w:t>istrativa: Adnny Fernanda e Socorro Nunes e da assessora contábil Rafaela Pierot. Justificativas de ausências: Jos</w:t>
      </w:r>
      <w:r>
        <w:t>é</w:t>
      </w:r>
      <w:r>
        <w:rPr>
          <w:color w:val="000000"/>
        </w:rPr>
        <w:t xml:space="preserve"> Francisco do Nascimento, Joseane Gomes Santos Borges</w:t>
      </w:r>
      <w:r>
        <w:t xml:space="preserve"> e </w:t>
      </w:r>
      <w:r>
        <w:rPr>
          <w:color w:val="000000"/>
        </w:rPr>
        <w:t>Sofia Laurentino Barbosa Pereira</w:t>
      </w:r>
      <w:r>
        <w:t xml:space="preserve">. </w:t>
      </w:r>
      <w:r>
        <w:rPr>
          <w:b/>
        </w:rPr>
        <w:t xml:space="preserve">Pauta </w:t>
      </w:r>
      <w:r>
        <w:rPr>
          <w:b/>
          <w:color w:val="000000"/>
        </w:rPr>
        <w:t>1-</w:t>
      </w:r>
      <w:r>
        <w:rPr>
          <w:b/>
        </w:rPr>
        <w:t xml:space="preserve">Arrecadação até abril de dois mil e vinte- </w:t>
      </w:r>
      <w:r>
        <w:rPr>
          <w:color w:val="000000"/>
        </w:rPr>
        <w:t>A Assessora Contábil, Rafaela Pierot, apresentou que</w:t>
      </w:r>
      <w:r>
        <w:t xml:space="preserve"> a arrecadação até o mês de abril </w:t>
      </w:r>
      <w:r>
        <w:rPr>
          <w:color w:val="000000"/>
        </w:rPr>
        <w:t>em dois mil e vinte ating</w:t>
      </w:r>
      <w:r>
        <w:t>iu 46,69% dos 50% indicados pelo CFESS. Destaca que a arrecadação dois mil e vinte</w:t>
      </w:r>
      <w:r>
        <w:rPr>
          <w:color w:val="000000"/>
        </w:rPr>
        <w:t xml:space="preserve"> está dentro da normalidade do CRESS/PI</w:t>
      </w:r>
      <w:r>
        <w:t xml:space="preserve"> e </w:t>
      </w:r>
      <w:r>
        <w:rPr>
          <w:color w:val="000000"/>
        </w:rPr>
        <w:t>aponta</w:t>
      </w:r>
      <w:r>
        <w:t xml:space="preserve"> que houve</w:t>
      </w:r>
      <w:r>
        <w:rPr>
          <w:color w:val="000000"/>
        </w:rPr>
        <w:t xml:space="preserve"> um c</w:t>
      </w:r>
      <w:r>
        <w:rPr>
          <w:color w:val="000000"/>
        </w:rPr>
        <w:t>rescimento em relação aos anos anteriores</w:t>
      </w:r>
      <w:r>
        <w:t xml:space="preserve">; </w:t>
      </w:r>
      <w:r>
        <w:rPr>
          <w:b/>
        </w:rPr>
        <w:t xml:space="preserve">Pauta 2- </w:t>
      </w:r>
      <w:r>
        <w:rPr>
          <w:b/>
          <w:color w:val="000000"/>
        </w:rPr>
        <w:t xml:space="preserve">Saúde financeira do CRESS: a) Todos os números e valores (extratos bancários, </w:t>
      </w:r>
      <w:r>
        <w:rPr>
          <w:b/>
        </w:rPr>
        <w:t>s</w:t>
      </w:r>
      <w:r>
        <w:rPr>
          <w:b/>
          <w:color w:val="000000"/>
        </w:rPr>
        <w:t xml:space="preserve">aldos nas rubricas, superávit, inadimplência)- </w:t>
      </w:r>
      <w:r>
        <w:rPr>
          <w:color w:val="000000"/>
        </w:rPr>
        <w:t xml:space="preserve">No que diz respeito </w:t>
      </w:r>
      <w:r>
        <w:t>às</w:t>
      </w:r>
      <w:r>
        <w:rPr>
          <w:color w:val="000000"/>
        </w:rPr>
        <w:t xml:space="preserve"> despesas, Rafaela Pierot apresentou que</w:t>
      </w:r>
      <w:r>
        <w:t xml:space="preserve"> para dois mil e</w:t>
      </w:r>
      <w:r>
        <w:t xml:space="preserve"> vinte a previsão é de 27,91%. Rafaela Pierot destaca que até abril de dois mil e vinte houve</w:t>
      </w:r>
      <w:r>
        <w:rPr>
          <w:color w:val="000000"/>
        </w:rPr>
        <w:t xml:space="preserve"> uma leve diminuição das despesas, e analisa que pode ser atribuída ao trabalho remoto dos funcionários e </w:t>
      </w:r>
      <w:r>
        <w:t>suspensão</w:t>
      </w:r>
      <w:r>
        <w:rPr>
          <w:color w:val="000000"/>
        </w:rPr>
        <w:t xml:space="preserve"> dos eventos </w:t>
      </w:r>
      <w:r>
        <w:t xml:space="preserve">presenciais </w:t>
      </w:r>
      <w:r>
        <w:rPr>
          <w:color w:val="000000"/>
        </w:rPr>
        <w:t xml:space="preserve">devido a </w:t>
      </w:r>
      <w:r>
        <w:t>p</w:t>
      </w:r>
      <w:r>
        <w:rPr>
          <w:color w:val="000000"/>
        </w:rPr>
        <w:t>andemia d</w:t>
      </w:r>
      <w:r>
        <w:t>o</w:t>
      </w:r>
      <w:r>
        <w:rPr>
          <w:color w:val="000000"/>
        </w:rPr>
        <w:t xml:space="preserve"> CO</w:t>
      </w:r>
      <w:r>
        <w:rPr>
          <w:color w:val="000000"/>
        </w:rPr>
        <w:t>VID</w:t>
      </w:r>
      <w:r>
        <w:t>-</w:t>
      </w:r>
      <w:r>
        <w:rPr>
          <w:color w:val="000000"/>
        </w:rPr>
        <w:t>19. Contudo, alertou para uma possível diminuição de arrecadação e aumento na inadimplência, como resultados da mesma situação. Sobre os valores disponíveis em conta, apresenta que até dia vinte e sete de maio d</w:t>
      </w:r>
      <w:r>
        <w:t>e dois mil e vinte o saldo do CRESS/PI em</w:t>
      </w:r>
      <w:r>
        <w:t xml:space="preserve"> conta corrente é de R$ 249.635,04 e R$ 340.621,02 em conta poupança. Orienta que o esperado é que arrecadação do ano seja suficiente para as despesas, contudo, nem sempre essa meta é alcançada, e que o uso da conta poupança deve priorizar despesas de capi</w:t>
      </w:r>
      <w:r>
        <w:t xml:space="preserve">tal e não despesas correntes e assim que a cautela nas despesas é imprescindível.  Sobre arrecadação, informa que até abril de dois mil e vinte o CRESS-PI arrecadou R$396.557,63, que representa 45,41% da Proposta Orçamentária de 2020. Quanto  ao superávit </w:t>
      </w:r>
      <w:r>
        <w:t xml:space="preserve">ou déficit orçamentário, informa que até o mês de abril de dois mil e vinte o CRESS/PI tem um superávit orçamentário de R$152.858,13, ou seja, gastou 61,45% do valor arrecadado. </w:t>
      </w:r>
      <w:r>
        <w:rPr>
          <w:color w:val="000000"/>
        </w:rPr>
        <w:t xml:space="preserve">Apontou que a inadimplência no CRESS/PI chega a 52,24%, e </w:t>
      </w:r>
      <w:r>
        <w:t>indica ações de comb</w:t>
      </w:r>
      <w:r>
        <w:t>ate a inadimplência ou inscrição na dívida ativa quando necessário</w:t>
      </w:r>
      <w:r>
        <w:rPr>
          <w:color w:val="000000"/>
        </w:rPr>
        <w:t xml:space="preserve">; </w:t>
      </w:r>
      <w:r>
        <w:rPr>
          <w:b/>
          <w:color w:val="000000"/>
        </w:rPr>
        <w:t>Pauta 3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Projeções para </w:t>
      </w:r>
      <w:r>
        <w:rPr>
          <w:b/>
        </w:rPr>
        <w:t>o</w:t>
      </w:r>
      <w:r>
        <w:rPr>
          <w:b/>
          <w:color w:val="000000"/>
        </w:rPr>
        <w:t xml:space="preserve"> ano de dois mil e vinte- </w:t>
      </w:r>
      <w:r>
        <w:rPr>
          <w:color w:val="000000"/>
        </w:rPr>
        <w:t>assessoria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contábil </w:t>
      </w:r>
      <w:r>
        <w:t>afirma que ainda não é possível identificar pois ainda estamos no primeiro semestre do ano</w:t>
      </w:r>
      <w:r>
        <w:rPr>
          <w:color w:val="000000"/>
        </w:rPr>
        <w:t xml:space="preserve">; </w:t>
      </w:r>
      <w:r>
        <w:rPr>
          <w:b/>
          <w:color w:val="000000"/>
        </w:rPr>
        <w:t>Pauta-4 Proposta Orçament</w:t>
      </w:r>
      <w:r>
        <w:rPr>
          <w:b/>
          <w:color w:val="000000"/>
        </w:rPr>
        <w:t xml:space="preserve">ária para o exercício de 2020- </w:t>
      </w:r>
      <w:r>
        <w:t>informa que este foi organizado p</w:t>
      </w:r>
      <w:r>
        <w:rPr>
          <w:color w:val="000000"/>
        </w:rPr>
        <w:t xml:space="preserve">or </w:t>
      </w:r>
      <w:r>
        <w:t>c</w:t>
      </w:r>
      <w:r>
        <w:rPr>
          <w:color w:val="000000"/>
        </w:rPr>
        <w:t xml:space="preserve">entro de </w:t>
      </w:r>
      <w:r>
        <w:t>c</w:t>
      </w:r>
      <w:r>
        <w:rPr>
          <w:color w:val="000000"/>
        </w:rPr>
        <w:t xml:space="preserve">ustos destacando que o orçamento previsto não é engessado, podendo </w:t>
      </w:r>
      <w:r>
        <w:t>haver</w:t>
      </w:r>
      <w:r>
        <w:rPr>
          <w:color w:val="000000"/>
        </w:rPr>
        <w:t xml:space="preserve"> transposição entre as rubricas; </w:t>
      </w:r>
      <w:r>
        <w:rPr>
          <w:b/>
          <w:color w:val="000000"/>
        </w:rPr>
        <w:t>Pauta 5. Dívida Ativa</w:t>
      </w:r>
      <w:r>
        <w:rPr>
          <w:color w:val="000000"/>
        </w:rPr>
        <w:t xml:space="preserve">. Socorro Nunes esclareceu que o CRESS/PI </w:t>
      </w:r>
      <w:r>
        <w:t>optou</w:t>
      </w:r>
      <w:r>
        <w:rPr>
          <w:color w:val="000000"/>
        </w:rPr>
        <w:t xml:space="preserve"> pela</w:t>
      </w:r>
      <w:r>
        <w:rPr>
          <w:color w:val="000000"/>
        </w:rPr>
        <w:t xml:space="preserve"> inclusão dos inadimplentes na Dívida Ativa Federal e que o encaminhamento acontece quando </w:t>
      </w:r>
      <w:r>
        <w:t>há</w:t>
      </w:r>
      <w:r>
        <w:rPr>
          <w:color w:val="000000"/>
        </w:rPr>
        <w:t xml:space="preserve"> inadimplência de quatro a cinco anuidades. Socorro Nunes chama a atenção para a realização de campanhas d</w:t>
      </w:r>
      <w:r>
        <w:t>e</w:t>
      </w:r>
      <w:r>
        <w:rPr>
          <w:color w:val="000000"/>
        </w:rPr>
        <w:t xml:space="preserve"> inadimplência para quem não entrou na </w:t>
      </w:r>
      <w:r>
        <w:rPr>
          <w:color w:val="000000"/>
        </w:rPr>
        <w:lastRenderedPageBreak/>
        <w:t>dívida ativa, com</w:t>
      </w:r>
      <w:r>
        <w:rPr>
          <w:color w:val="000000"/>
        </w:rPr>
        <w:t xml:space="preserve"> base na Política Nacional de Inadimplência do CFESS. Adnny Fernanda informou que existe uma política de parcelamento das anuidades atrasadas, conforme resolução do CFESS. A Comissão e Fiscalização, representada por Cleiana Mesquita, informou que a COFI re</w:t>
      </w:r>
      <w:r>
        <w:rPr>
          <w:color w:val="000000"/>
        </w:rPr>
        <w:t xml:space="preserve">aliza ações pedagógicas, sensibilizando os profissionais para cumprirem com suas obrigações perante o CRESS. Deliberou-se </w:t>
      </w:r>
      <w:r>
        <w:t>que, em atendimento às exigências do Tribunal de Contas da União, quanto a transparência e publicação das ações estabelecidas na Lei d</w:t>
      </w:r>
      <w:r>
        <w:t xml:space="preserve">e Acesso à informação, a assessora contábil deve encaminhar para a Comissão de Comunicação: a proposta orçamentária do CRESS/PI 2020, Comparativos de Receitas 2020, Comparativo de despesas 2020, Demonstrativos Contábeis/Financeiros 2020, Pagamentos 2020 e </w:t>
      </w:r>
      <w:r>
        <w:t xml:space="preserve">Prestação de Contas 2019. </w:t>
      </w:r>
      <w:r>
        <w:rPr>
          <w:color w:val="000000"/>
        </w:rPr>
        <w:t xml:space="preserve">Não havendo nada mais a tratar a reunião foi encerrada às 22:00 horas e eu, Sayonara Genilda de Sousa Lima, </w:t>
      </w:r>
      <w:r>
        <w:t xml:space="preserve">segunda secretária, </w:t>
      </w:r>
      <w:r>
        <w:rPr>
          <w:color w:val="000000"/>
        </w:rPr>
        <w:t>lavrei a presente ata que após lida e aprovada foi assinada pelos participantes.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Alba Valéria de Sousa Batista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Amanda Marques de Oliveira Gomes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Cleiana Francisca Bezerra Mesquita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Diaponira Vitória da Silva Santos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Fabianna Rodrigues Guimarães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Fabiana Soares de Almeida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Giselia Maria da Silva Carvalho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Henrique Meneses Ribeiro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Indira Alves</w:t>
      </w:r>
      <w:r>
        <w:rPr>
          <w:color w:val="000000"/>
        </w:rPr>
        <w:t xml:space="preserve"> Aragão Mota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Maria Marlene Lima de Aquino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Mirella Thaís Araújo Santos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Nayarad da Silveira Braga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Sayonara Genilda de Sousa Lima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Tâmara Feitosa Oliveira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Adnny Fernanda</w:t>
      </w:r>
    </w:p>
    <w:p w:rsidR="002D797F" w:rsidRDefault="002C54F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Socorro Nunes</w:t>
      </w:r>
    </w:p>
    <w:sectPr w:rsidR="002D797F" w:rsidSect="002D79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34" w:right="1134" w:bottom="1418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FF" w:rsidRDefault="002C54FF" w:rsidP="002D797F">
      <w:r>
        <w:separator/>
      </w:r>
    </w:p>
  </w:endnote>
  <w:endnote w:type="continuationSeparator" w:id="0">
    <w:p w:rsidR="002C54FF" w:rsidRDefault="002C54FF" w:rsidP="002D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</w:p>
  <w:p w:rsidR="002D797F" w:rsidRDefault="002C54FF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:rsidR="002D797F" w:rsidRDefault="002C54FF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Cep 64002-470 - Teresina-PI</w:t>
    </w:r>
  </w:p>
  <w:p w:rsidR="002D797F" w:rsidRDefault="002C54FF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3222.1090 | site: www.cresspi.org.br</w:t>
    </w:r>
  </w:p>
  <w:p w:rsidR="002D797F" w:rsidRDefault="002C54FF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F" w:rsidRDefault="002D79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FF" w:rsidRDefault="002C54FF" w:rsidP="002D797F">
      <w:r>
        <w:separator/>
      </w:r>
    </w:p>
  </w:footnote>
  <w:footnote w:type="continuationSeparator" w:id="0">
    <w:p w:rsidR="002C54FF" w:rsidRDefault="002C54FF" w:rsidP="002D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F" w:rsidRDefault="002C54FF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2D797F" w:rsidRDefault="002C54F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:rsidR="002D797F" w:rsidRDefault="002D797F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F" w:rsidRDefault="002D79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97F"/>
    <w:rsid w:val="002C54FF"/>
    <w:rsid w:val="002D797F"/>
    <w:rsid w:val="0058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2895"/>
  </w:style>
  <w:style w:type="paragraph" w:styleId="Ttulo1">
    <w:name w:val="heading 1"/>
    <w:basedOn w:val="Normal"/>
    <w:next w:val="Normal"/>
    <w:rsid w:val="00F32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32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32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328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F32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32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D797F"/>
  </w:style>
  <w:style w:type="table" w:customStyle="1" w:styleId="TableNormal">
    <w:name w:val="Table Normal"/>
    <w:rsid w:val="002D7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328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32895"/>
  </w:style>
  <w:style w:type="table" w:customStyle="1" w:styleId="TableNormal0">
    <w:name w:val="Table Normal"/>
    <w:rsid w:val="00F32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328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2D79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61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eo-kkhj-ch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mFD3N2CPIw8NIwdZh0p4eNR8w==">AMUW2mUInlNFxKOrqozhq7tdzggCY2iTBZngJQrX3xKYI6zafbYiZyjveyXRSo+NupioSJnN7wFevAjnTwe0eGr8dhPULXyCamFvTho3OSwr5GtZlT1SevDVDEt17iBA1IFY2MHn23/y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4233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2020-07-12T00:25:00Z</dcterms:created>
  <dcterms:modified xsi:type="dcterms:W3CDTF">2020-07-12T00:25:00Z</dcterms:modified>
</cp:coreProperties>
</file>